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DB" w:rsidRPr="001E35AC" w:rsidRDefault="00B105DB" w:rsidP="00B105DB">
      <w:pPr>
        <w:jc w:val="center"/>
        <w:rPr>
          <w:rFonts w:ascii="標楷體" w:eastAsia="標楷體" w:hAnsi="標楷體"/>
          <w:b/>
          <w:sz w:val="28"/>
          <w:szCs w:val="28"/>
        </w:rPr>
      </w:pPr>
      <w:r w:rsidRPr="001E35AC">
        <w:rPr>
          <w:rFonts w:ascii="標楷體" w:eastAsia="標楷體" w:hAnsi="標楷體" w:hint="eastAsia"/>
          <w:b/>
          <w:sz w:val="28"/>
          <w:szCs w:val="28"/>
        </w:rPr>
        <w:t>國立臺北大學公共行政暨政策學系</w:t>
      </w:r>
    </w:p>
    <w:p w:rsidR="00B105DB" w:rsidRPr="001E35AC" w:rsidRDefault="00B105DB" w:rsidP="00B105DB">
      <w:pPr>
        <w:jc w:val="center"/>
        <w:rPr>
          <w:rFonts w:ascii="標楷體" w:eastAsia="標楷體" w:hAnsi="標楷體"/>
          <w:b/>
          <w:sz w:val="28"/>
          <w:szCs w:val="28"/>
        </w:rPr>
      </w:pPr>
      <w:r w:rsidRPr="001E35AC">
        <w:rPr>
          <w:rFonts w:ascii="標楷體" w:eastAsia="標楷體" w:hAnsi="標楷體" w:hint="eastAsia"/>
          <w:b/>
          <w:sz w:val="28"/>
          <w:szCs w:val="28"/>
        </w:rPr>
        <w:t>政策分析與行政管理</w:t>
      </w:r>
      <w:r w:rsidRPr="002E68B5">
        <w:rPr>
          <w:rFonts w:ascii="標楷體" w:eastAsia="標楷體" w:hAnsi="標楷體" w:hint="eastAsia"/>
          <w:b/>
          <w:sz w:val="28"/>
          <w:szCs w:val="28"/>
          <w:u w:val="single"/>
        </w:rPr>
        <w:t>學士</w:t>
      </w:r>
      <w:r w:rsidRPr="002E68B5">
        <w:rPr>
          <w:rFonts w:ascii="標楷體" w:eastAsia="標楷體" w:hAnsi="標楷體" w:hint="eastAsia"/>
          <w:b/>
          <w:sz w:val="28"/>
          <w:szCs w:val="28"/>
        </w:rPr>
        <w:t>微學</w:t>
      </w:r>
      <w:r w:rsidRPr="001E35AC">
        <w:rPr>
          <w:rFonts w:ascii="標楷體" w:eastAsia="標楷體" w:hAnsi="標楷體" w:hint="eastAsia"/>
          <w:b/>
          <w:sz w:val="28"/>
          <w:szCs w:val="28"/>
        </w:rPr>
        <w:t>程</w:t>
      </w:r>
      <w:r w:rsidRPr="001E35AC">
        <w:rPr>
          <w:rFonts w:eastAsia="標楷體" w:hAnsi="標楷體"/>
          <w:b/>
          <w:sz w:val="28"/>
          <w:szCs w:val="28"/>
        </w:rPr>
        <w:t>設置要點</w:t>
      </w:r>
    </w:p>
    <w:p w:rsidR="00B105DB" w:rsidRDefault="00B105DB" w:rsidP="00B105DB">
      <w:pPr>
        <w:snapToGrid w:val="0"/>
        <w:jc w:val="right"/>
        <w:rPr>
          <w:rFonts w:ascii="標楷體" w:eastAsia="標楷體" w:hAnsi="標楷體"/>
          <w:sz w:val="18"/>
          <w:szCs w:val="18"/>
        </w:rPr>
      </w:pPr>
      <w:r w:rsidRPr="002A78B8">
        <w:rPr>
          <w:rFonts w:ascii="標楷體" w:eastAsia="標楷體" w:hAnsi="標楷體" w:hint="eastAsia"/>
          <w:sz w:val="18"/>
          <w:szCs w:val="18"/>
        </w:rPr>
        <w:t>107年</w:t>
      </w:r>
      <w:r>
        <w:rPr>
          <w:rFonts w:ascii="標楷體" w:eastAsia="標楷體" w:hAnsi="標楷體" w:hint="eastAsia"/>
          <w:sz w:val="18"/>
          <w:szCs w:val="18"/>
        </w:rPr>
        <w:t>11</w:t>
      </w:r>
      <w:r w:rsidRPr="002A78B8">
        <w:rPr>
          <w:rFonts w:ascii="標楷體" w:eastAsia="標楷體" w:hAnsi="標楷體" w:hint="eastAsia"/>
          <w:sz w:val="18"/>
          <w:szCs w:val="18"/>
        </w:rPr>
        <w:t>月</w:t>
      </w:r>
      <w:r>
        <w:rPr>
          <w:rFonts w:ascii="標楷體" w:eastAsia="標楷體" w:hAnsi="標楷體" w:hint="eastAsia"/>
          <w:sz w:val="18"/>
          <w:szCs w:val="18"/>
        </w:rPr>
        <w:t>7</w:t>
      </w:r>
      <w:r w:rsidRPr="002A78B8">
        <w:rPr>
          <w:rFonts w:ascii="標楷體" w:eastAsia="標楷體" w:hAnsi="標楷體" w:hint="eastAsia"/>
          <w:sz w:val="18"/>
          <w:szCs w:val="18"/>
        </w:rPr>
        <w:t>日</w:t>
      </w:r>
      <w:r>
        <w:rPr>
          <w:rFonts w:ascii="標楷體" w:eastAsia="標楷體" w:hAnsi="標楷體" w:hint="eastAsia"/>
          <w:sz w:val="18"/>
          <w:szCs w:val="18"/>
        </w:rPr>
        <w:t>公共行政暨政策學系</w:t>
      </w:r>
      <w:r w:rsidRPr="002A78B8">
        <w:rPr>
          <w:rFonts w:ascii="標楷體" w:eastAsia="標楷體" w:hAnsi="標楷體" w:hint="eastAsia"/>
          <w:sz w:val="18"/>
          <w:szCs w:val="18"/>
        </w:rPr>
        <w:t>課程委員</w:t>
      </w:r>
      <w:r>
        <w:rPr>
          <w:rFonts w:ascii="標楷體" w:eastAsia="標楷體" w:hAnsi="標楷體" w:hint="eastAsia"/>
          <w:sz w:val="18"/>
          <w:szCs w:val="18"/>
        </w:rPr>
        <w:t>會</w:t>
      </w:r>
      <w:r w:rsidRPr="002A78B8">
        <w:rPr>
          <w:rFonts w:ascii="標楷體" w:eastAsia="標楷體" w:hAnsi="標楷體" w:hint="eastAsia"/>
          <w:sz w:val="18"/>
          <w:szCs w:val="18"/>
        </w:rPr>
        <w:t>通過</w:t>
      </w:r>
    </w:p>
    <w:p w:rsidR="00B105DB" w:rsidRPr="002E68B5" w:rsidRDefault="00B105DB" w:rsidP="00B105DB">
      <w:pPr>
        <w:snapToGrid w:val="0"/>
        <w:jc w:val="right"/>
        <w:rPr>
          <w:rFonts w:ascii="標楷體" w:eastAsia="標楷體" w:hAnsi="標楷體"/>
          <w:sz w:val="18"/>
          <w:szCs w:val="18"/>
        </w:rPr>
      </w:pPr>
      <w:r w:rsidRPr="002E68B5">
        <w:rPr>
          <w:rFonts w:ascii="標楷體" w:eastAsia="標楷體" w:hAnsi="標楷體" w:hint="eastAsia"/>
          <w:sz w:val="18"/>
          <w:szCs w:val="18"/>
        </w:rPr>
        <w:t>108年1月2日107學年度第1學期校課程委員會議通過</w:t>
      </w:r>
    </w:p>
    <w:p w:rsidR="002E68B5" w:rsidRPr="002E68B5" w:rsidRDefault="002E68B5" w:rsidP="00B105DB">
      <w:pPr>
        <w:snapToGrid w:val="0"/>
        <w:jc w:val="right"/>
        <w:rPr>
          <w:rFonts w:ascii="標楷體" w:eastAsia="標楷體" w:hAnsi="標楷體"/>
          <w:sz w:val="18"/>
          <w:szCs w:val="18"/>
        </w:rPr>
      </w:pPr>
      <w:r>
        <w:rPr>
          <w:rFonts w:ascii="標楷體" w:eastAsia="標楷體" w:hAnsi="標楷體" w:hint="eastAsia"/>
          <w:color w:val="FF0000"/>
          <w:sz w:val="18"/>
          <w:szCs w:val="18"/>
        </w:rPr>
        <w:t>108年6月12日107學年度第2學期校課程委員會議通過</w:t>
      </w:r>
    </w:p>
    <w:p w:rsidR="00B105DB" w:rsidRDefault="00B105DB" w:rsidP="00B105DB">
      <w:pPr>
        <w:snapToGrid w:val="0"/>
        <w:rPr>
          <w:rFonts w:ascii="標楷體" w:eastAsia="標楷體" w:hAnsi="標楷體"/>
        </w:rPr>
      </w:pPr>
    </w:p>
    <w:p w:rsidR="00B105DB" w:rsidRDefault="00B105DB" w:rsidP="00B105DB">
      <w:pPr>
        <w:snapToGrid w:val="0"/>
        <w:rPr>
          <w:rFonts w:ascii="標楷體" w:eastAsia="標楷體" w:hAnsi="標楷體"/>
        </w:rPr>
      </w:pPr>
    </w:p>
    <w:p w:rsidR="00B105DB" w:rsidRPr="00CB61A0" w:rsidRDefault="00B105DB" w:rsidP="00B105DB">
      <w:pPr>
        <w:pStyle w:val="a3"/>
        <w:numPr>
          <w:ilvl w:val="0"/>
          <w:numId w:val="1"/>
        </w:numPr>
        <w:adjustRightInd w:val="0"/>
        <w:snapToGrid w:val="0"/>
        <w:spacing w:line="360" w:lineRule="exact"/>
        <w:ind w:leftChars="59" w:left="980" w:hangingChars="349" w:hanging="838"/>
        <w:rPr>
          <w:rFonts w:ascii="標楷體" w:eastAsia="標楷體" w:hAnsi="標楷體"/>
          <w:b/>
          <w:szCs w:val="24"/>
        </w:rPr>
      </w:pPr>
      <w:r w:rsidRPr="00CB61A0">
        <w:rPr>
          <w:rFonts w:ascii="標楷體" w:eastAsia="標楷體" w:hAnsi="標楷體" w:hint="eastAsia"/>
          <w:szCs w:val="24"/>
        </w:rPr>
        <w:t>本要點</w:t>
      </w:r>
      <w:r w:rsidRPr="00CB61A0">
        <w:rPr>
          <w:rFonts w:ascii="Times New Roman" w:eastAsia="標楷體" w:hAnsi="標楷體"/>
          <w:szCs w:val="24"/>
        </w:rPr>
        <w:t>依據「國立臺北大學</w:t>
      </w:r>
      <w:r w:rsidRPr="00CB61A0">
        <w:rPr>
          <w:rFonts w:ascii="Times New Roman" w:eastAsia="標楷體" w:hAnsi="標楷體" w:hint="eastAsia"/>
          <w:szCs w:val="24"/>
        </w:rPr>
        <w:t>學分</w:t>
      </w:r>
      <w:r w:rsidRPr="00CB61A0">
        <w:rPr>
          <w:rFonts w:ascii="Times New Roman" w:eastAsia="標楷體" w:hAnsi="標楷體"/>
          <w:szCs w:val="24"/>
        </w:rPr>
        <w:t>學程設置辦法」第三條</w:t>
      </w:r>
      <w:r w:rsidRPr="00CB61A0">
        <w:rPr>
          <w:rFonts w:ascii="Times New Roman" w:eastAsia="標楷體" w:hAnsi="標楷體" w:hint="eastAsia"/>
          <w:szCs w:val="24"/>
        </w:rPr>
        <w:t>及「國立臺北大學</w:t>
      </w:r>
      <w:r w:rsidR="002E68B5" w:rsidRPr="002E68B5">
        <w:rPr>
          <w:rFonts w:ascii="Times New Roman" w:eastAsia="標楷體" w:hAnsi="標楷體" w:hint="eastAsia"/>
          <w:b/>
          <w:color w:val="FF0000"/>
          <w:szCs w:val="24"/>
          <w:u w:val="single"/>
        </w:rPr>
        <w:t>學程</w:t>
      </w:r>
      <w:r w:rsidRPr="002E68B5">
        <w:rPr>
          <w:rFonts w:ascii="Times New Roman" w:eastAsia="標楷體" w:hAnsi="標楷體" w:hint="eastAsia"/>
          <w:b/>
          <w:color w:val="FF0000"/>
          <w:szCs w:val="24"/>
          <w:u w:val="single"/>
        </w:rPr>
        <w:t>修讀</w:t>
      </w:r>
      <w:r w:rsidRPr="00CB61A0">
        <w:rPr>
          <w:rFonts w:ascii="Times New Roman" w:eastAsia="標楷體" w:hAnsi="標楷體" w:hint="eastAsia"/>
          <w:szCs w:val="24"/>
        </w:rPr>
        <w:t>辦法」</w:t>
      </w:r>
      <w:r w:rsidRPr="00CB61A0">
        <w:rPr>
          <w:rFonts w:ascii="Times New Roman" w:eastAsia="標楷體" w:hAnsi="標楷體"/>
          <w:szCs w:val="24"/>
        </w:rPr>
        <w:t>規定訂定</w:t>
      </w:r>
      <w:r w:rsidRPr="00CB61A0">
        <w:rPr>
          <w:rFonts w:ascii="Times New Roman" w:eastAsia="標楷體" w:hAnsi="標楷體" w:hint="eastAsia"/>
          <w:szCs w:val="24"/>
        </w:rPr>
        <w:t>之</w:t>
      </w:r>
      <w:r w:rsidRPr="00CB61A0">
        <w:rPr>
          <w:rFonts w:ascii="Times New Roman" w:eastAsia="標楷體" w:hAnsi="標楷體"/>
          <w:szCs w:val="24"/>
        </w:rPr>
        <w:t>。</w:t>
      </w:r>
    </w:p>
    <w:p w:rsidR="00B105DB" w:rsidRPr="002E68B5" w:rsidRDefault="00B105DB" w:rsidP="00B105DB">
      <w:pPr>
        <w:pStyle w:val="a3"/>
        <w:numPr>
          <w:ilvl w:val="0"/>
          <w:numId w:val="1"/>
        </w:numPr>
        <w:adjustRightInd w:val="0"/>
        <w:snapToGrid w:val="0"/>
        <w:spacing w:line="360" w:lineRule="exact"/>
        <w:ind w:leftChars="59" w:left="980" w:hangingChars="349" w:hanging="838"/>
        <w:rPr>
          <w:rFonts w:ascii="Times New Roman" w:eastAsia="標楷體" w:hAnsi="標楷體"/>
          <w:szCs w:val="24"/>
        </w:rPr>
      </w:pPr>
      <w:r w:rsidRPr="00CB61A0">
        <w:rPr>
          <w:rFonts w:ascii="Times New Roman" w:eastAsia="標楷體" w:hAnsi="標楷體" w:hint="eastAsia"/>
          <w:szCs w:val="24"/>
        </w:rPr>
        <w:t>為提升學生對公共事務分析與管理的專業知能，成為跨領域的專業管理人才，特設立「政策分析與行政管</w:t>
      </w:r>
      <w:r w:rsidRPr="002E68B5">
        <w:rPr>
          <w:rFonts w:ascii="Times New Roman" w:eastAsia="標楷體" w:hAnsi="標楷體" w:hint="eastAsia"/>
          <w:szCs w:val="24"/>
        </w:rPr>
        <w:t>理</w:t>
      </w:r>
      <w:r w:rsidRPr="002E68B5">
        <w:rPr>
          <w:rFonts w:ascii="Times New Roman" w:eastAsia="標楷體" w:hAnsi="標楷體" w:hint="eastAsia"/>
          <w:b/>
          <w:szCs w:val="24"/>
          <w:u w:val="single"/>
        </w:rPr>
        <w:t>學士</w:t>
      </w:r>
      <w:r w:rsidRPr="002E68B5">
        <w:rPr>
          <w:rFonts w:ascii="Times New Roman" w:eastAsia="標楷體" w:hAnsi="標楷體" w:hint="eastAsia"/>
          <w:szCs w:val="24"/>
        </w:rPr>
        <w:t>微學程」（以下簡稱本學程）。</w:t>
      </w:r>
    </w:p>
    <w:p w:rsidR="00B105DB" w:rsidRPr="002E68B5" w:rsidRDefault="002E68B5" w:rsidP="00B105DB">
      <w:pPr>
        <w:pStyle w:val="a3"/>
        <w:numPr>
          <w:ilvl w:val="0"/>
          <w:numId w:val="1"/>
        </w:numPr>
        <w:adjustRightInd w:val="0"/>
        <w:snapToGrid w:val="0"/>
        <w:spacing w:line="360" w:lineRule="exact"/>
        <w:ind w:leftChars="59" w:left="980" w:hangingChars="349" w:hanging="838"/>
        <w:rPr>
          <w:rFonts w:ascii="Times New Roman" w:eastAsia="標楷體" w:hAnsi="標楷體"/>
          <w:szCs w:val="24"/>
        </w:rPr>
      </w:pPr>
      <w:r w:rsidRPr="00975730">
        <w:rPr>
          <w:rFonts w:eastAsia="標楷體" w:hAnsi="標楷體"/>
          <w:kern w:val="0"/>
        </w:rPr>
        <w:t>本學程課程規劃表另訂之，課程規劃分專業必修課程及專業選修課程。專業必修課程應修習行政學</w:t>
      </w:r>
      <w:r w:rsidRPr="007839A3">
        <w:rPr>
          <w:rFonts w:eastAsia="標楷體" w:hAnsi="標楷體"/>
          <w:b/>
          <w:color w:val="FF0000"/>
          <w:kern w:val="0"/>
          <w:u w:val="single"/>
        </w:rPr>
        <w:t>或</w:t>
      </w:r>
      <w:r w:rsidRPr="00975730">
        <w:rPr>
          <w:rFonts w:eastAsia="標楷體" w:hAnsi="標楷體"/>
          <w:kern w:val="0"/>
        </w:rPr>
        <w:t>公共政策，專業選修課程應修習一門課，全部應修畢</w:t>
      </w:r>
      <w:r w:rsidRPr="007839A3">
        <w:rPr>
          <w:rFonts w:eastAsia="標楷體"/>
          <w:b/>
          <w:color w:val="FF0000"/>
          <w:kern w:val="0"/>
          <w:u w:val="single"/>
        </w:rPr>
        <w:t>8</w:t>
      </w:r>
      <w:r w:rsidRPr="007839A3">
        <w:rPr>
          <w:rFonts w:eastAsia="標楷體" w:hAnsi="標楷體"/>
          <w:b/>
          <w:color w:val="FF0000"/>
          <w:kern w:val="0"/>
          <w:u w:val="single"/>
        </w:rPr>
        <w:t>或</w:t>
      </w:r>
      <w:r w:rsidRPr="007839A3">
        <w:rPr>
          <w:rFonts w:eastAsia="標楷體"/>
          <w:b/>
          <w:color w:val="FF0000"/>
          <w:kern w:val="0"/>
          <w:u w:val="single"/>
        </w:rPr>
        <w:t>10</w:t>
      </w:r>
      <w:r w:rsidRPr="00975730">
        <w:rPr>
          <w:rFonts w:eastAsia="標楷體" w:hAnsi="標楷體"/>
          <w:kern w:val="0"/>
        </w:rPr>
        <w:t>學分。</w:t>
      </w:r>
    </w:p>
    <w:p w:rsidR="00B105DB" w:rsidRPr="002E68B5" w:rsidRDefault="00B105DB" w:rsidP="00B105DB">
      <w:pPr>
        <w:pStyle w:val="a3"/>
        <w:numPr>
          <w:ilvl w:val="0"/>
          <w:numId w:val="1"/>
        </w:numPr>
        <w:adjustRightInd w:val="0"/>
        <w:snapToGrid w:val="0"/>
        <w:spacing w:line="360" w:lineRule="exact"/>
        <w:ind w:leftChars="59" w:left="980" w:hangingChars="349" w:hanging="838"/>
        <w:rPr>
          <w:rFonts w:ascii="Times New Roman" w:eastAsia="標楷體" w:hAnsi="標楷體"/>
          <w:szCs w:val="24"/>
        </w:rPr>
      </w:pPr>
      <w:r w:rsidRPr="002E68B5">
        <w:rPr>
          <w:rFonts w:ascii="標楷體" w:eastAsia="標楷體" w:hAnsi="標楷體" w:hint="eastAsia"/>
          <w:szCs w:val="24"/>
        </w:rPr>
        <w:t>本校</w:t>
      </w:r>
      <w:r w:rsidRPr="002E68B5">
        <w:rPr>
          <w:rFonts w:ascii="標楷體" w:eastAsia="標楷體" w:hAnsi="標楷體" w:hint="eastAsia"/>
          <w:b/>
          <w:szCs w:val="24"/>
          <w:u w:val="single"/>
        </w:rPr>
        <w:t>非本系之</w:t>
      </w:r>
      <w:r w:rsidRPr="002E68B5">
        <w:rPr>
          <w:rFonts w:ascii="標楷體" w:eastAsia="標楷體" w:hAnsi="標楷體" w:hint="eastAsia"/>
          <w:szCs w:val="24"/>
        </w:rPr>
        <w:t>大學部</w:t>
      </w:r>
      <w:r w:rsidRPr="002E68B5">
        <w:rPr>
          <w:rFonts w:ascii="標楷體" w:eastAsia="標楷體" w:hAnsi="標楷體"/>
          <w:szCs w:val="24"/>
        </w:rPr>
        <w:t>(</w:t>
      </w:r>
      <w:r w:rsidRPr="002E68B5">
        <w:rPr>
          <w:rFonts w:ascii="標楷體" w:eastAsia="標楷體" w:hAnsi="標楷體" w:hint="eastAsia"/>
          <w:szCs w:val="24"/>
        </w:rPr>
        <w:t>含進修學士班</w:t>
      </w:r>
      <w:r w:rsidRPr="002E68B5">
        <w:rPr>
          <w:rFonts w:ascii="標楷體" w:eastAsia="標楷體" w:hAnsi="標楷體"/>
          <w:szCs w:val="24"/>
        </w:rPr>
        <w:t>)</w:t>
      </w:r>
      <w:r w:rsidRPr="002E68B5">
        <w:rPr>
          <w:rFonts w:ascii="標楷體" w:eastAsia="標楷體" w:hAnsi="標楷體" w:hint="eastAsia"/>
          <w:szCs w:val="24"/>
        </w:rPr>
        <w:t>學生、臺北聯合大學系統學校之學生，皆可依據個人興趣修讀本學程，無須先行申請。惟學生選課仍受各開課單位課程選修人數之限制。</w:t>
      </w:r>
    </w:p>
    <w:p w:rsidR="00B105DB" w:rsidRPr="002E68B5" w:rsidRDefault="00B105DB" w:rsidP="00B105DB">
      <w:pPr>
        <w:pStyle w:val="a3"/>
        <w:numPr>
          <w:ilvl w:val="0"/>
          <w:numId w:val="1"/>
        </w:numPr>
        <w:adjustRightInd w:val="0"/>
        <w:snapToGrid w:val="0"/>
        <w:spacing w:line="360" w:lineRule="exact"/>
        <w:ind w:leftChars="59" w:left="980" w:hangingChars="349" w:hanging="838"/>
        <w:rPr>
          <w:rFonts w:ascii="Times New Roman" w:eastAsia="標楷體" w:hAnsi="標楷體"/>
          <w:szCs w:val="24"/>
        </w:rPr>
      </w:pPr>
      <w:r w:rsidRPr="002E68B5">
        <w:rPr>
          <w:rFonts w:ascii="Times New Roman" w:eastAsia="標楷體" w:hAnsi="標楷體" w:hint="eastAsia"/>
          <w:szCs w:val="24"/>
        </w:rPr>
        <w:t>修讀本學程之學分及課程成績須併入各該學期修習總學分及學期成績計算，另學生每學期所修學分上下限、科目擋修限制、科目修習對象限制等，仍依相關選課規定辦理。</w:t>
      </w:r>
    </w:p>
    <w:p w:rsidR="00B105DB" w:rsidRPr="002E68B5" w:rsidRDefault="00B105DB" w:rsidP="00B105DB">
      <w:pPr>
        <w:pStyle w:val="a3"/>
        <w:numPr>
          <w:ilvl w:val="0"/>
          <w:numId w:val="1"/>
        </w:numPr>
        <w:adjustRightInd w:val="0"/>
        <w:snapToGrid w:val="0"/>
        <w:spacing w:line="360" w:lineRule="exact"/>
        <w:ind w:leftChars="59" w:left="980" w:hangingChars="349" w:hanging="838"/>
        <w:rPr>
          <w:rFonts w:ascii="Times New Roman" w:eastAsia="標楷體" w:hAnsi="標楷體"/>
          <w:szCs w:val="24"/>
        </w:rPr>
      </w:pPr>
      <w:r w:rsidRPr="002E68B5">
        <w:rPr>
          <w:rFonts w:ascii="Times New Roman" w:eastAsia="標楷體" w:hAnsi="標楷體" w:hint="eastAsia"/>
          <w:szCs w:val="24"/>
        </w:rPr>
        <w:t>學生如修滿所屬學系應修畢業學分，但未完成本學程全部應修學分，仍可依規定畢業，但不得於畢業後再要求補修本學程學分，亦不得因修習學程而申請延長修業年限。</w:t>
      </w:r>
    </w:p>
    <w:p w:rsidR="00B105DB" w:rsidRPr="002E68B5" w:rsidRDefault="00B105DB" w:rsidP="00B105DB">
      <w:pPr>
        <w:pStyle w:val="a3"/>
        <w:numPr>
          <w:ilvl w:val="0"/>
          <w:numId w:val="1"/>
        </w:numPr>
        <w:adjustRightInd w:val="0"/>
        <w:snapToGrid w:val="0"/>
        <w:spacing w:line="360" w:lineRule="exact"/>
        <w:ind w:leftChars="59" w:left="980" w:hangingChars="349" w:hanging="838"/>
        <w:rPr>
          <w:rFonts w:ascii="標楷體" w:eastAsia="標楷體" w:hAnsi="標楷體"/>
          <w:szCs w:val="24"/>
        </w:rPr>
      </w:pPr>
      <w:r w:rsidRPr="002E68B5">
        <w:rPr>
          <w:rFonts w:ascii="標楷體" w:eastAsia="標楷體" w:hAnsi="標楷體" w:hint="eastAsia"/>
          <w:szCs w:val="24"/>
        </w:rPr>
        <w:t>修滿本學程規定之科目與學分者，得向本系申請核發本學程結業證明書；經審核無誤並報請教務長</w:t>
      </w:r>
      <w:bookmarkStart w:id="0" w:name="_GoBack"/>
      <w:bookmarkEnd w:id="0"/>
      <w:r w:rsidRPr="002E68B5">
        <w:rPr>
          <w:rFonts w:ascii="標楷體" w:eastAsia="標楷體" w:hAnsi="標楷體" w:hint="eastAsia"/>
          <w:szCs w:val="24"/>
        </w:rPr>
        <w:t>、校長同意後，</w:t>
      </w:r>
      <w:r w:rsidRPr="002E68B5">
        <w:rPr>
          <w:rFonts w:ascii="標楷體" w:eastAsia="標楷體" w:hAnsi="標楷體" w:hint="eastAsia"/>
          <w:b/>
          <w:szCs w:val="24"/>
          <w:u w:val="single"/>
        </w:rPr>
        <w:t>由校級行政單位</w:t>
      </w:r>
      <w:r w:rsidRPr="002E68B5">
        <w:rPr>
          <w:rFonts w:ascii="標楷體" w:eastAsia="標楷體" w:hAnsi="標楷體" w:hint="eastAsia"/>
          <w:szCs w:val="24"/>
        </w:rPr>
        <w:t>發給學程結業證明書。</w:t>
      </w:r>
    </w:p>
    <w:p w:rsidR="00B105DB" w:rsidRPr="002E68B5" w:rsidRDefault="00B105DB" w:rsidP="00B105DB">
      <w:pPr>
        <w:pStyle w:val="a3"/>
        <w:numPr>
          <w:ilvl w:val="0"/>
          <w:numId w:val="1"/>
        </w:numPr>
        <w:adjustRightInd w:val="0"/>
        <w:snapToGrid w:val="0"/>
        <w:spacing w:beforeLines="30" w:before="108" w:line="360" w:lineRule="exact"/>
        <w:ind w:leftChars="59" w:left="980" w:rightChars="-2" w:right="-5" w:hangingChars="349" w:hanging="838"/>
        <w:jc w:val="both"/>
        <w:rPr>
          <w:rFonts w:ascii="標楷體" w:eastAsia="標楷體" w:hAnsi="標楷體"/>
          <w:szCs w:val="24"/>
        </w:rPr>
      </w:pPr>
      <w:r w:rsidRPr="002E68B5">
        <w:rPr>
          <w:rFonts w:ascii="標楷體" w:eastAsia="標楷體" w:hAnsi="標楷體" w:hint="eastAsia"/>
          <w:szCs w:val="24"/>
        </w:rPr>
        <w:t>本要點未規定事項，悉依本校學分學程設置辦法及</w:t>
      </w:r>
      <w:r w:rsidR="00A66040" w:rsidRPr="00A66040">
        <w:rPr>
          <w:rFonts w:ascii="標楷體" w:eastAsia="標楷體" w:hAnsi="標楷體" w:hint="eastAsia"/>
          <w:b/>
          <w:color w:val="FF0000"/>
          <w:szCs w:val="24"/>
          <w:u w:val="single"/>
        </w:rPr>
        <w:t>學程</w:t>
      </w:r>
      <w:r w:rsidRPr="00A66040">
        <w:rPr>
          <w:rFonts w:ascii="標楷體" w:eastAsia="標楷體" w:hAnsi="標楷體" w:hint="eastAsia"/>
          <w:b/>
          <w:color w:val="FF0000"/>
          <w:szCs w:val="24"/>
          <w:u w:val="single"/>
        </w:rPr>
        <w:t>修讀</w:t>
      </w:r>
      <w:r w:rsidRPr="002E68B5">
        <w:rPr>
          <w:rFonts w:ascii="標楷體" w:eastAsia="標楷體" w:hAnsi="標楷體" w:hint="eastAsia"/>
          <w:szCs w:val="24"/>
        </w:rPr>
        <w:t>辦法等相關規定辦理。</w:t>
      </w:r>
    </w:p>
    <w:p w:rsidR="00B105DB" w:rsidRPr="00CB61A0" w:rsidRDefault="00B105DB" w:rsidP="00B105DB">
      <w:pPr>
        <w:pStyle w:val="a3"/>
        <w:numPr>
          <w:ilvl w:val="0"/>
          <w:numId w:val="1"/>
        </w:numPr>
        <w:adjustRightInd w:val="0"/>
        <w:snapToGrid w:val="0"/>
        <w:spacing w:beforeLines="30" w:before="108" w:line="360" w:lineRule="exact"/>
        <w:ind w:leftChars="59" w:left="980" w:rightChars="-2" w:right="-5" w:hangingChars="349" w:hanging="838"/>
        <w:jc w:val="both"/>
        <w:rPr>
          <w:rFonts w:ascii="標楷體" w:eastAsia="標楷體" w:hAnsi="標楷體"/>
          <w:color w:val="000000"/>
          <w:szCs w:val="24"/>
        </w:rPr>
      </w:pPr>
      <w:r w:rsidRPr="002E68B5">
        <w:rPr>
          <w:rFonts w:ascii="標楷體" w:eastAsia="標楷體" w:hAnsi="標楷體" w:hint="eastAsia"/>
          <w:szCs w:val="24"/>
        </w:rPr>
        <w:t>本要點經系課程委員會、院級課程委員會</w:t>
      </w:r>
      <w:r w:rsidRPr="00CB61A0">
        <w:rPr>
          <w:rFonts w:ascii="標楷體" w:eastAsia="標楷體" w:hAnsi="標楷體" w:hint="eastAsia"/>
          <w:szCs w:val="24"/>
        </w:rPr>
        <w:t>及校級課程委員會通過後施行，修正時亦同。</w:t>
      </w:r>
    </w:p>
    <w:p w:rsidR="00B105DB" w:rsidRDefault="00B105DB" w:rsidP="00B105DB">
      <w:pPr>
        <w:snapToGrid w:val="0"/>
        <w:spacing w:beforeLines="30" w:before="108" w:line="360" w:lineRule="exact"/>
        <w:ind w:leftChars="59" w:left="142" w:rightChars="-2" w:right="-5"/>
        <w:jc w:val="both"/>
        <w:rPr>
          <w:rFonts w:ascii="標楷體" w:eastAsia="標楷體" w:hAnsi="標楷體"/>
          <w:color w:val="000000"/>
        </w:rPr>
      </w:pPr>
    </w:p>
    <w:p w:rsidR="00B105DB" w:rsidRDefault="00B105DB" w:rsidP="00B105DB">
      <w:pPr>
        <w:widowControl/>
        <w:rPr>
          <w:rFonts w:ascii="標楷體" w:eastAsia="標楷體" w:hAnsi="標楷體"/>
        </w:rPr>
      </w:pPr>
    </w:p>
    <w:p w:rsidR="004656A0" w:rsidRPr="00B105DB" w:rsidRDefault="004656A0"/>
    <w:sectPr w:rsidR="004656A0" w:rsidRPr="00B105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49" w:rsidRDefault="002E6849" w:rsidP="002E68B5">
      <w:r>
        <w:separator/>
      </w:r>
    </w:p>
  </w:endnote>
  <w:endnote w:type="continuationSeparator" w:id="0">
    <w:p w:rsidR="002E6849" w:rsidRDefault="002E6849" w:rsidP="002E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49" w:rsidRDefault="002E6849" w:rsidP="002E68B5">
      <w:r>
        <w:separator/>
      </w:r>
    </w:p>
  </w:footnote>
  <w:footnote w:type="continuationSeparator" w:id="0">
    <w:p w:rsidR="002E6849" w:rsidRDefault="002E6849" w:rsidP="002E6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21B1"/>
    <w:multiLevelType w:val="hybridMultilevel"/>
    <w:tmpl w:val="1892F7BA"/>
    <w:lvl w:ilvl="0" w:tplc="60807AD0">
      <w:start w:val="1"/>
      <w:numFmt w:val="taiwaneseCountingThousand"/>
      <w:lvlText w:val="第%1條"/>
      <w:lvlJc w:val="left"/>
      <w:pPr>
        <w:ind w:left="1702" w:firstLine="0"/>
      </w:pPr>
      <w:rPr>
        <w:rFonts w:hint="eastAsia"/>
        <w:b/>
        <w:sz w:val="24"/>
        <w:szCs w:val="24"/>
        <w:lang w:val="en-US"/>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DB"/>
    <w:rsid w:val="002E6849"/>
    <w:rsid w:val="002E68B5"/>
    <w:rsid w:val="004656A0"/>
    <w:rsid w:val="00A66040"/>
    <w:rsid w:val="00B105DB"/>
    <w:rsid w:val="00BF7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97136-E671-4E20-9AFD-1BD2719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5DB"/>
    <w:pPr>
      <w:ind w:leftChars="200" w:left="480"/>
    </w:pPr>
    <w:rPr>
      <w:rFonts w:ascii="Calibri" w:eastAsia="新細明體" w:hAnsi="Calibri" w:cs="Times New Roman"/>
    </w:rPr>
  </w:style>
  <w:style w:type="paragraph" w:styleId="a4">
    <w:name w:val="header"/>
    <w:basedOn w:val="a"/>
    <w:link w:val="a5"/>
    <w:uiPriority w:val="99"/>
    <w:unhideWhenUsed/>
    <w:rsid w:val="002E68B5"/>
    <w:pPr>
      <w:tabs>
        <w:tab w:val="center" w:pos="4153"/>
        <w:tab w:val="right" w:pos="8306"/>
      </w:tabs>
      <w:snapToGrid w:val="0"/>
    </w:pPr>
    <w:rPr>
      <w:sz w:val="20"/>
      <w:szCs w:val="20"/>
    </w:rPr>
  </w:style>
  <w:style w:type="character" w:customStyle="1" w:styleId="a5">
    <w:name w:val="頁首 字元"/>
    <w:basedOn w:val="a0"/>
    <w:link w:val="a4"/>
    <w:uiPriority w:val="99"/>
    <w:rsid w:val="002E68B5"/>
    <w:rPr>
      <w:sz w:val="20"/>
      <w:szCs w:val="20"/>
    </w:rPr>
  </w:style>
  <w:style w:type="paragraph" w:styleId="a6">
    <w:name w:val="footer"/>
    <w:basedOn w:val="a"/>
    <w:link w:val="a7"/>
    <w:uiPriority w:val="99"/>
    <w:unhideWhenUsed/>
    <w:rsid w:val="002E68B5"/>
    <w:pPr>
      <w:tabs>
        <w:tab w:val="center" w:pos="4153"/>
        <w:tab w:val="right" w:pos="8306"/>
      </w:tabs>
      <w:snapToGrid w:val="0"/>
    </w:pPr>
    <w:rPr>
      <w:sz w:val="20"/>
      <w:szCs w:val="20"/>
    </w:rPr>
  </w:style>
  <w:style w:type="character" w:customStyle="1" w:styleId="a7">
    <w:name w:val="頁尾 字元"/>
    <w:basedOn w:val="a0"/>
    <w:link w:val="a6"/>
    <w:uiPriority w:val="99"/>
    <w:rsid w:val="002E68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little8smile@gmail.com</dc:creator>
  <cp:keywords/>
  <dc:description/>
  <cp:lastModifiedBy>little8smile@gmail.com</cp:lastModifiedBy>
  <cp:revision>3</cp:revision>
  <dcterms:created xsi:type="dcterms:W3CDTF">2019-01-14T07:34:00Z</dcterms:created>
  <dcterms:modified xsi:type="dcterms:W3CDTF">2019-06-17T05:52:00Z</dcterms:modified>
</cp:coreProperties>
</file>